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</w:rPr>
        <w:t>2017年廉江市人力资源和社会保障局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</w:rPr>
        <w:t>部门预算编制基本情况说明</w:t>
      </w:r>
    </w:p>
    <w:p>
      <w:pPr>
        <w:pStyle w:val="4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36"/>
          <w:szCs w:val="36"/>
          <w:shd w:val="clear" w:fill="FFFFFF"/>
        </w:rPr>
        <w:t>一、部门基本情况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（一）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主要职责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主要职能：贯彻执行人力资源和社会保障事业发展的方针政策和法律法规，负责全市就业、人才、社会保险、劳动者维权、机关企事业单位人员工资福利、事业单位人事制度改革、公务员和参公单位人员以及军转干部管理等工作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机构设置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1.机构设置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本部门预算为本级预算，下属事业单位独立编制2017年预算报表，其中：廉江市社会保险基金管理局，廉江市就业服务管理中心，廉江市技工学校。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2.人员构成情况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市人力资源和社会保障局现有编制91名，其中：行政编制32名，全额核拨事业编制51名，工勤编制5名，自收自支3名。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2017年实有财政供养人员124人，其中：行政编制在职31名，事业编制在职51名，工勤编制在职4名，离退休38人。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  <w:t>二、收入预算说明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2017年收入预算939.92万元，比上年增加14.99万元，主要原因是工资福利和对个人和家庭的补助支出的拨款收入增加。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  <w:t>三、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  <w:t>支出预算说明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2017年部门预算支出数为939.92万元，按用途分：基本支出预算819.6  万元，占总支出的87.20%，其中：工资福利支出预算536.86万元，占预算65.55%；对个人和家庭补助支出预算258.62万元，占预算31.55%；商品和服务支出预算24.12万元，占预算2.90%。基本支出预算较上年增加61.83 万元，增长7.54 %，增长原因主要是工资福利支出增加。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  <w:t>四、“三公”经费说明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“三公”经费包括因公出国（境）费、公务用车购置及运行维护费和公务接待费。2017年廉江市人力资源和社会保障局财政拨款预算“三公”经费合计4.8 万元，比上年减少0 万元。其中：因公出国（境）费 0 万元，占0 %，比上年减少0 万元；公务用车购置及运行维护费 4.8 万元，占 0.51 %，比上年减少0 万元；公务接待费 0 万元，占 0 %，比上年减少0 万元。 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  <w:t>五、其他需要说明的情况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（一）机关运行经费情况</w:t>
      </w:r>
    </w:p>
    <w:p>
      <w:pPr>
        <w:spacing w:line="700" w:lineRule="exact"/>
        <w:ind w:firstLine="560" w:firstLineChars="20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2017年廉江市人力资源和社会保障局机关运行经费商品和服务支出24.12万元，较2016年预算增加0.08万元，主要原因：其他商品和服务支出减少。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（二）政府采购安排情况</w:t>
      </w:r>
    </w:p>
    <w:p>
      <w:pPr>
        <w:spacing w:line="70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2017年我局政府采购预算安排0万元，其中：政府采购货物预算0万元、政府采购工程预算0万元、政府采购服务预算 0万元。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（三）国有资产占有使用情况</w:t>
      </w:r>
    </w:p>
    <w:p>
      <w:pPr>
        <w:spacing w:line="70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截至2017年1月1日，本部门占有使用国有资产总体情况如下：有车辆1辆，其中：一般公务用车1辆， 2017年预计购置/报废0辆等。资产变动情况为：无变动。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（四）重点项目预算绩效目标设置情况</w:t>
      </w:r>
    </w:p>
    <w:p>
      <w:pPr>
        <w:spacing w:line="70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2017年财政部项目绩效目标实现全覆盖，涉及一般公共预算当年拨款939.92 万元，政府性基金当年拨款0万元。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（五）专业名词解释</w:t>
      </w:r>
    </w:p>
    <w:p>
      <w:pPr>
        <w:spacing w:line="700" w:lineRule="exact"/>
        <w:ind w:firstLine="602" w:firstLineChars="200"/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kern w:val="0"/>
          <w:sz w:val="30"/>
          <w:szCs w:val="30"/>
          <w:shd w:val="clear" w:fill="FFFFFF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kern w:val="0"/>
          <w:sz w:val="30"/>
          <w:szCs w:val="30"/>
          <w:shd w:val="clear" w:fill="FFFFFF"/>
          <w:lang w:val="en-US" w:eastAsia="zh-CN" w:bidi="ar"/>
        </w:rPr>
        <w:t>1、一般公共预算：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指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对以税收为主体的财政收入，安排用于保障和改善民生、推动经济社会发展、维护国家安全、维持国家机构正常运转等方面的收支预算。</w:t>
      </w:r>
    </w:p>
    <w:p>
      <w:pPr>
        <w:spacing w:line="700" w:lineRule="exact"/>
        <w:ind w:firstLine="602" w:firstLineChars="20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kern w:val="0"/>
          <w:sz w:val="30"/>
          <w:szCs w:val="30"/>
          <w:shd w:val="clear" w:fill="FFFFFF"/>
          <w:lang w:val="en-US" w:eastAsia="zh-CN" w:bidi="ar"/>
        </w:rPr>
        <w:t>2、部门预算：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指与财政部门直接发生预算缴款、拨款关系的政府机关、社会团体和其他单位，依据国家有关法律、法规规定及履行职能的需要编制的本部门年度收支计划，涵盖部门各项收支，实行一个部门一本预算。</w:t>
      </w:r>
    </w:p>
    <w:p>
      <w:pPr>
        <w:spacing w:line="700" w:lineRule="exact"/>
        <w:ind w:firstLine="602" w:firstLineChars="20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kern w:val="0"/>
          <w:sz w:val="30"/>
          <w:szCs w:val="30"/>
          <w:shd w:val="clear" w:fill="FFFFFF"/>
          <w:lang w:val="en-US" w:eastAsia="zh-CN" w:bidi="ar"/>
        </w:rPr>
        <w:t>3.“三公”经费：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按照党中央、国务院有关文件及部门预算管理有关规定，“三公”经费包括因公出国（境）费、公务用车购置及运行费和公务接待费。（1）因公出国（境）费，指单位工作人员公务出国（境）的住宿费、旅费、伙食补助费、杂费、培训费等支出。（2）公务用车购置及运行费，指单位公务用车购置费及租用费、燃料费、维修费、过路过桥费、保险费、安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kern w:val="0"/>
          <w:sz w:val="30"/>
          <w:szCs w:val="30"/>
          <w:shd w:val="clear" w:fill="FFFFFF"/>
          <w:lang w:val="en-US" w:eastAsia="zh-CN" w:bidi="ar"/>
        </w:rPr>
        <w:t>全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奖励费用等支出。公务用车指用于履行公务的机动车辆，包括领导干部专车、一般公务用车和执法执勤用车。（3）公务接待费，指单位按规定开支的各类公务接待（含外宾接待）支出。</w:t>
      </w:r>
    </w:p>
    <w:p>
      <w:pPr>
        <w:spacing w:line="70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Arial Unicode MS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8828D7"/>
    <w:rsid w:val="0BAC3AA3"/>
    <w:rsid w:val="114A3DE2"/>
    <w:rsid w:val="16C30359"/>
    <w:rsid w:val="1945789E"/>
    <w:rsid w:val="21EA0DB1"/>
    <w:rsid w:val="239B0645"/>
    <w:rsid w:val="2CFD3F3B"/>
    <w:rsid w:val="36A0570C"/>
    <w:rsid w:val="37472A56"/>
    <w:rsid w:val="395E2714"/>
    <w:rsid w:val="3A2C0257"/>
    <w:rsid w:val="40B20229"/>
    <w:rsid w:val="440176F6"/>
    <w:rsid w:val="44271F7A"/>
    <w:rsid w:val="45F45D50"/>
    <w:rsid w:val="4FED4DEF"/>
    <w:rsid w:val="5219356C"/>
    <w:rsid w:val="52F66513"/>
    <w:rsid w:val="54F56672"/>
    <w:rsid w:val="57C74C66"/>
    <w:rsid w:val="5A942B50"/>
    <w:rsid w:val="5AEE0F39"/>
    <w:rsid w:val="6638181F"/>
    <w:rsid w:val="7073639E"/>
    <w:rsid w:val="75455E4D"/>
    <w:rsid w:val="7A4B0E8C"/>
    <w:rsid w:val="7B296282"/>
    <w:rsid w:val="7D66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2018-04-03T07:42:50Z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